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bookmarkStart w:id="3" w:name="_GoBack"/>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bookmarkEnd w:id="3"/>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r w:rsidRPr="00F72EAB">
        <w:rPr>
          <w:rFonts w:eastAsia="SimSun"/>
          <w:sz w:val="20"/>
          <w:szCs w:val="20"/>
          <w:lang w:val="es-ES"/>
        </w:rPr>
        <w:t>de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Corporation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r w:rsidR="00624511" w:rsidRPr="00F72EAB">
              <w:rPr>
                <w:rStyle w:val="LogoportDoNotTranslate"/>
                <w:rFonts w:ascii="Tahoma" w:hAnsi="Tahoma"/>
              </w:rPr>
              <w:instrText xml:space="preserve">tc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r w:rsidRPr="00EB24D1">
        <w:rPr>
          <w:sz w:val="20"/>
        </w:rPr>
        <w:t xml:space="preserve">software adicional que </w:t>
      </w:r>
      <w:r w:rsidR="001029BC" w:rsidRPr="00EB24D1">
        <w:rPr>
          <w:sz w:val="20"/>
        </w:rPr>
        <w:t>solo</w:t>
      </w:r>
      <w:r w:rsidRPr="00EB24D1">
        <w:rPr>
          <w:sz w:val="20"/>
        </w:rPr>
        <w:t xml:space="preserve"> se puede utilizar con el software de servidor directamente, o</w:t>
      </w:r>
      <w:r w:rsidR="00E717B3" w:rsidRPr="00EB24D1">
        <w:rPr>
          <w:sz w:val="20"/>
        </w:rPr>
        <w:t> </w:t>
      </w:r>
      <w:r w:rsidRPr="00EB24D1">
        <w:rPr>
          <w:sz w:val="20"/>
        </w:rPr>
        <w:t>indirectamente a través de otro software adicional.</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Un subproceso de hardware es un núcleo físico o un núcleo hipersubproceso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Los OSEs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lastRenderedPageBreak/>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go.microsoft.com/fwlink/?LinkID=229882.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Puede licenciar según los OSEs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número de OSEs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Para cada OSE virtual para el cual ha cedido el número necesario de licencias, según se detalla en la Sección 2.2(</w:t>
      </w:r>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El software o su hardware puede limitar el número de instancias del software de servidor que se pueden ejecutar en OSEs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r w:rsidRPr="00F72EAB">
        <w:rPr>
          <w:rFonts w:eastAsia="SimSun"/>
          <w:sz w:val="20"/>
          <w:szCs w:val="20"/>
          <w:lang w:val="es-ES"/>
        </w:rPr>
        <w:t>Multiplexación.</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r w:rsidRPr="00F72EAB">
        <w:rPr>
          <w:sz w:val="20"/>
          <w:lang w:val="es-ES"/>
        </w:rPr>
        <w:t>reenrutar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 xml:space="preserve">(en ocasiones se denomina </w:t>
      </w:r>
      <w:r w:rsidR="00CA71AC" w:rsidRPr="00F72EAB">
        <w:rPr>
          <w:sz w:val="20"/>
          <w:lang w:val="es-ES"/>
        </w:rPr>
        <w:t>“</w:t>
      </w:r>
      <w:r w:rsidRPr="00F72EAB">
        <w:rPr>
          <w:sz w:val="20"/>
          <w:lang w:val="es-ES"/>
        </w:rPr>
        <w:t>multiplexación</w:t>
      </w:r>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Esto se aplica aunque los OSEs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Elemento de informe de mapa de Reporting Services de SQL Server.</w:t>
      </w:r>
      <w:r w:rsidRPr="00EB24D1">
        <w:rPr>
          <w:lang w:val="es-ES"/>
        </w:rPr>
        <w:t xml:space="preserve"> </w:t>
      </w:r>
      <w:r w:rsidR="001913BF" w:rsidRPr="00F72EAB">
        <w:rPr>
          <w:b w:val="0"/>
          <w:sz w:val="20"/>
          <w:lang w:val="es-ES"/>
        </w:rPr>
        <w:t>Power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informe de mapa de Reporting Services de SQL incluyen el uso de Bing Maps. Usted solo</w:t>
      </w:r>
      <w:r w:rsidR="00E717B3" w:rsidRPr="00F72EAB">
        <w:rPr>
          <w:b w:val="0"/>
          <w:sz w:val="20"/>
          <w:lang w:val="es-ES"/>
        </w:rPr>
        <w:t> </w:t>
      </w:r>
      <w:r w:rsidR="001913BF" w:rsidRPr="00F72EAB">
        <w:rPr>
          <w:b w:val="0"/>
          <w:sz w:val="20"/>
          <w:lang w:val="es-ES"/>
        </w:rPr>
        <w:t>puede utilizar el contenido proporcionado a 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go.microsoft.com/fwlink/?LinkID=298186.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Microsoft proporciona servicios basados en Internet con el 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utilizar el software para prestar servicios de hosting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software marcado como edición </w:t>
      </w:r>
      <w:r w:rsidR="00CA71AC" w:rsidRPr="00F72EAB">
        <w:rPr>
          <w:b w:val="0"/>
          <w:sz w:val="20"/>
          <w:lang w:val="es-ES"/>
        </w:rPr>
        <w:t>“</w:t>
      </w:r>
      <w:r w:rsidRPr="00F72EAB">
        <w:rPr>
          <w:b w:val="0"/>
          <w:sz w:val="20"/>
          <w:lang w:val="es-ES"/>
        </w:rPr>
        <w:t>Academic</w:t>
      </w:r>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t>Microsoft, SQL Server y Windows Server son marcas registradas de Microsoft Corporation en los Estados Unidos y/o en otros países.</w:t>
      </w:r>
    </w:p>
    <w:sectPr w:rsidR="00624511" w:rsidRPr="00DA527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0F477F">
      <w:rPr>
        <w:rStyle w:val="LogoportDoNotTranslate"/>
        <w:rFonts w:ascii="Tahoma" w:hAnsi="Tahoma"/>
        <w:noProof/>
        <w:color w:val="auto"/>
      </w:rPr>
      <w:t>2</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0F477F">
      <w:rPr>
        <w:rStyle w:val="LogoportDoNotTranslate"/>
        <w:rFonts w:ascii="Tahoma" w:hAnsi="Tahoma"/>
        <w:noProof/>
        <w:color w:val="auto"/>
      </w:rPr>
      <w:t>2</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r w:rsidRPr="007337E5">
        <w:rPr>
          <w:b/>
          <w:sz w:val="16"/>
          <w:szCs w:val="16"/>
          <w:lang w:val="es-ES"/>
        </w:rPr>
        <w:t>Academic Edition</w:t>
      </w:r>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Enterprise Core Edition y Academic Edition.</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kBDaMcZzKYkUiUwkuFF+sRotV6NQC1XxGSD0N2C/DXrIby3a6Hsssw/QUotiPi1ZiaAddLofmYERT9DNnMpalw==" w:salt="RufdqBDYloLWf1vB985Sr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0F477F"/>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5211"/>
    <w:rsid w:val="00667249"/>
    <w:rsid w:val="00672044"/>
    <w:rsid w:val="006825B7"/>
    <w:rsid w:val="0069245F"/>
    <w:rsid w:val="006A025E"/>
    <w:rsid w:val="006B0A99"/>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2934"/>
    <w:rsid w:val="00A94BDF"/>
    <w:rsid w:val="00A97E95"/>
    <w:rsid w:val="00AA5929"/>
    <w:rsid w:val="00AA6877"/>
    <w:rsid w:val="00AB2F3A"/>
    <w:rsid w:val="00AD10D0"/>
    <w:rsid w:val="00AE2893"/>
    <w:rsid w:val="00AF2D5C"/>
    <w:rsid w:val="00AF4D14"/>
    <w:rsid w:val="00AF719C"/>
    <w:rsid w:val="00B00614"/>
    <w:rsid w:val="00B023BE"/>
    <w:rsid w:val="00B103D0"/>
    <w:rsid w:val="00B106AA"/>
    <w:rsid w:val="00B121CE"/>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AC2834-F4A7-4356-B505-F4A5DEE6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5F5AEE7-EAEC-4616-AB68-5EA36A795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AF0A2B-5FF0-4AC8-84AB-850BCEC61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